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40" w:line="275.9999942779541" w:lineRule="auto"/>
        <w:rPr>
          <w:sz w:val="62"/>
          <w:szCs w:val="62"/>
        </w:rPr>
      </w:pPr>
      <w:bookmarkStart w:colFirst="0" w:colLast="0" w:name="_ndwimnc9rfoq" w:id="0"/>
      <w:bookmarkEnd w:id="0"/>
      <w:r w:rsidDel="00000000" w:rsidR="00000000" w:rsidRPr="00000000">
        <w:rPr>
          <w:sz w:val="62"/>
          <w:szCs w:val="62"/>
          <w:rtl w:val="0"/>
        </w:rPr>
        <w:t xml:space="preserve"> Fleur de Bach n°1. Agrimony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705"/>
        <w:gridCol w:w="5655"/>
        <w:tblGridChange w:id="0">
          <w:tblGrid>
            <w:gridCol w:w="3705"/>
            <w:gridCol w:w="56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Caractéristique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Nom de la Fleur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Agrimony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Nom Botanique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i w:val="1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i w:val="1"/>
                <w:color w:val="1b1c1d"/>
                <w:sz w:val="20"/>
                <w:szCs w:val="20"/>
                <w:shd w:fill="auto" w:val="clear"/>
                <w:rtl w:val="0"/>
              </w:rPr>
              <w:t xml:space="preserve">Agrimonia eupatoria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Groupe Émotionnel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Peurs et Incertitudes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État Négatif Clé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Tourment intérieur caché derrière une façade joyeuse, évitement des conflits et des discussions.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Personnalité Type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Personnes gaies, joviales, qui plaisantent et rient beaucoup, mais qui souffrent intérieurement et ont du mal à exprimer leurs vraies émotions.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Bienfaits Potentiels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Favorise l'honnêteté émotionnelle, l'acceptation de soi et des difficultés, la capacité à exprimer ses sentiments et à affronter les problèmes avec courage. Aide à retrouver une paix intérieure authentique.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Mode d'Utilisation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Posologie 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 Prendre quatre gouttes, quatre fois par jour directement sous la langue, ou diluées dans un verre d'eau. Garder la solution dans la bouche quelques instants avant d'avaler.- La durée de la cure varie en fonction des besoins de chacun. Elle peut aller de quelques jours à plusieurs semaines.</w:t>
            </w:r>
          </w:p>
        </w:tc>
      </w:tr>
      <w:tr>
        <w:trPr>
          <w:cantSplit w:val="0"/>
          <w:trHeight w:val="28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Indications Courantes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Difficulté à être seul(e), besoin constant de distraction, tendance à nier ou à masquer ses problèmes, recherche excessive de l'approbation des autres, tensions intérieures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somatisées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i w:val="0"/>
                <w:color w:val="1b1c1d"/>
                <w:sz w:val="20"/>
                <w:szCs w:val="20"/>
                <w:shd w:fill="auto" w:val="clear"/>
                <w:rtl w:val="0"/>
              </w:rPr>
              <w:t xml:space="preserve"> (maux de tête, troubles digestifs liés au stress).</w:t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480" w:line="275.9999942779541" w:lineRule="auto"/>
        <w:rPr>
          <w:rFonts w:ascii="Google Sans Text" w:cs="Google Sans Text" w:eastAsia="Google Sans Text" w:hAnsi="Google Sans Text"/>
          <w:i w:val="0"/>
          <w:color w:val="1b1c1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 Tex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i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i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Text-regular.ttf"/><Relationship Id="rId2" Type="http://schemas.openxmlformats.org/officeDocument/2006/relationships/font" Target="fonts/GoogleSansText-bold.ttf"/><Relationship Id="rId3" Type="http://schemas.openxmlformats.org/officeDocument/2006/relationships/font" Target="fonts/GoogleSansText-italic.ttf"/><Relationship Id="rId4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